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8F" w:rsidRPr="0031608F" w:rsidRDefault="0031608F" w:rsidP="0031608F">
      <w:pPr>
        <w:spacing w:line="360" w:lineRule="auto"/>
        <w:jc w:val="right"/>
        <w:rPr>
          <w:rFonts w:ascii="Arial" w:hAnsi="Arial" w:cs="Arial"/>
          <w:sz w:val="24"/>
          <w:szCs w:val="24"/>
        </w:rPr>
      </w:pPr>
      <w:r w:rsidRPr="0031608F">
        <w:rPr>
          <w:rFonts w:ascii="Arial" w:hAnsi="Arial" w:cs="Arial"/>
          <w:sz w:val="24"/>
          <w:szCs w:val="24"/>
        </w:rPr>
        <w:t>Montevideo, 17 de enero de 2013</w:t>
      </w:r>
    </w:p>
    <w:p w:rsidR="0031608F" w:rsidRPr="0031608F" w:rsidRDefault="0031608F" w:rsidP="0031608F">
      <w:pPr>
        <w:spacing w:line="360" w:lineRule="auto"/>
        <w:jc w:val="right"/>
        <w:rPr>
          <w:rFonts w:ascii="Arial" w:hAnsi="Arial" w:cs="Arial"/>
          <w:sz w:val="24"/>
          <w:szCs w:val="24"/>
        </w:rPr>
      </w:pPr>
    </w:p>
    <w:p w:rsidR="0031608F" w:rsidRPr="00BB6CE3" w:rsidRDefault="0031608F" w:rsidP="00BB6CE3">
      <w:pPr>
        <w:suppressAutoHyphens/>
        <w:spacing w:after="0" w:line="360" w:lineRule="auto"/>
        <w:jc w:val="both"/>
        <w:rPr>
          <w:rFonts w:ascii="Arial" w:hAnsi="Arial" w:cs="Arial"/>
          <w:spacing w:val="-3"/>
          <w:sz w:val="24"/>
          <w:szCs w:val="24"/>
          <w:lang w:val="es-ES_tradnl"/>
        </w:rPr>
      </w:pPr>
      <w:r w:rsidRPr="00BB6CE3">
        <w:rPr>
          <w:rFonts w:ascii="Arial" w:hAnsi="Arial" w:cs="Arial"/>
          <w:spacing w:val="-3"/>
          <w:sz w:val="24"/>
          <w:szCs w:val="24"/>
          <w:lang w:val="es-ES_tradnl"/>
        </w:rPr>
        <w:t xml:space="preserve">Señor </w:t>
      </w:r>
    </w:p>
    <w:p w:rsidR="0031608F" w:rsidRPr="00BB6CE3" w:rsidRDefault="0031608F" w:rsidP="00BB6CE3">
      <w:pPr>
        <w:suppressAutoHyphens/>
        <w:spacing w:after="0" w:line="360" w:lineRule="auto"/>
        <w:jc w:val="both"/>
        <w:rPr>
          <w:rFonts w:ascii="Arial" w:hAnsi="Arial" w:cs="Arial"/>
          <w:spacing w:val="-3"/>
          <w:sz w:val="24"/>
          <w:szCs w:val="24"/>
          <w:lang w:val="es-ES_tradnl"/>
        </w:rPr>
      </w:pPr>
      <w:r w:rsidRPr="00BB6CE3">
        <w:rPr>
          <w:rFonts w:ascii="Arial" w:hAnsi="Arial" w:cs="Arial"/>
          <w:spacing w:val="-3"/>
          <w:sz w:val="24"/>
          <w:szCs w:val="24"/>
          <w:lang w:val="es-ES_tradnl"/>
        </w:rPr>
        <w:t xml:space="preserve">Secretario General de la </w:t>
      </w:r>
    </w:p>
    <w:p w:rsidR="0031608F" w:rsidRPr="00BB6CE3" w:rsidRDefault="0031608F" w:rsidP="00BB6CE3">
      <w:pPr>
        <w:suppressAutoHyphens/>
        <w:spacing w:after="0" w:line="360" w:lineRule="auto"/>
        <w:jc w:val="both"/>
        <w:rPr>
          <w:rFonts w:ascii="Arial" w:hAnsi="Arial" w:cs="Arial"/>
          <w:spacing w:val="-3"/>
          <w:sz w:val="24"/>
          <w:szCs w:val="24"/>
          <w:lang w:val="es-ES_tradnl"/>
        </w:rPr>
      </w:pPr>
      <w:r w:rsidRPr="00BB6CE3">
        <w:rPr>
          <w:rFonts w:ascii="Arial" w:hAnsi="Arial" w:cs="Arial"/>
          <w:spacing w:val="-3"/>
          <w:sz w:val="24"/>
          <w:szCs w:val="24"/>
          <w:lang w:val="es-ES_tradnl"/>
        </w:rPr>
        <w:t>Junta Departamental de Montevideo</w:t>
      </w:r>
    </w:p>
    <w:p w:rsidR="0031608F" w:rsidRPr="00BB6CE3" w:rsidRDefault="0031608F" w:rsidP="00BB6CE3">
      <w:pPr>
        <w:spacing w:after="0" w:line="360" w:lineRule="auto"/>
        <w:rPr>
          <w:rFonts w:ascii="Arial" w:hAnsi="Arial" w:cs="Arial"/>
          <w:spacing w:val="-3"/>
          <w:sz w:val="24"/>
          <w:szCs w:val="24"/>
          <w:lang w:val="es-ES_tradnl"/>
        </w:rPr>
      </w:pPr>
      <w:r w:rsidRPr="00BB6CE3">
        <w:rPr>
          <w:rFonts w:ascii="Arial" w:hAnsi="Arial" w:cs="Arial"/>
          <w:spacing w:val="-3"/>
          <w:sz w:val="24"/>
          <w:szCs w:val="24"/>
          <w:lang w:val="es-ES_tradnl"/>
        </w:rPr>
        <w:t xml:space="preserve">Carlos Otero </w:t>
      </w:r>
    </w:p>
    <w:p w:rsidR="0031608F" w:rsidRDefault="0031608F" w:rsidP="00BB6CE3">
      <w:pPr>
        <w:spacing w:after="0" w:line="360" w:lineRule="auto"/>
        <w:jc w:val="right"/>
        <w:rPr>
          <w:rFonts w:ascii="Arial" w:hAnsi="Arial" w:cs="Arial"/>
          <w:sz w:val="24"/>
          <w:szCs w:val="24"/>
        </w:rPr>
      </w:pPr>
      <w:r w:rsidRPr="0031608F">
        <w:rPr>
          <w:rFonts w:ascii="Arial" w:hAnsi="Arial" w:cs="Arial"/>
          <w:sz w:val="24"/>
          <w:szCs w:val="24"/>
        </w:rPr>
        <w:t xml:space="preserve"> </w:t>
      </w:r>
      <w:r w:rsidR="00F75D2F" w:rsidRPr="0031608F">
        <w:rPr>
          <w:rFonts w:ascii="Arial" w:hAnsi="Arial" w:cs="Arial"/>
          <w:sz w:val="24"/>
          <w:szCs w:val="24"/>
        </w:rPr>
        <w:t xml:space="preserve">E. E. Nº 2012-17-1-0003044 </w:t>
      </w:r>
    </w:p>
    <w:p w:rsidR="00F75D2F" w:rsidRDefault="00F75D2F" w:rsidP="00BB6CE3">
      <w:pPr>
        <w:spacing w:after="0" w:line="360" w:lineRule="auto"/>
        <w:jc w:val="right"/>
        <w:rPr>
          <w:rFonts w:ascii="Arial" w:hAnsi="Arial" w:cs="Arial"/>
          <w:sz w:val="24"/>
          <w:szCs w:val="24"/>
        </w:rPr>
      </w:pPr>
      <w:r w:rsidRPr="0031608F">
        <w:rPr>
          <w:rFonts w:ascii="Arial" w:hAnsi="Arial" w:cs="Arial"/>
          <w:sz w:val="24"/>
          <w:szCs w:val="24"/>
        </w:rPr>
        <w:t>E:</w:t>
      </w:r>
      <w:r w:rsidRPr="0031608F">
        <w:rPr>
          <w:rFonts w:ascii="Arial" w:hAnsi="Arial" w:cs="Arial"/>
          <w:bCs/>
          <w:sz w:val="24"/>
          <w:szCs w:val="24"/>
        </w:rPr>
        <w:t xml:space="preserve"> Nº</w:t>
      </w:r>
      <w:r w:rsidRPr="0031608F">
        <w:rPr>
          <w:rFonts w:ascii="Arial" w:hAnsi="Arial" w:cs="Arial"/>
          <w:sz w:val="24"/>
          <w:szCs w:val="24"/>
        </w:rPr>
        <w:t xml:space="preserve"> 7392/12</w:t>
      </w:r>
    </w:p>
    <w:p w:rsidR="0031608F" w:rsidRDefault="0031608F" w:rsidP="00BB6CE3">
      <w:pPr>
        <w:spacing w:after="0" w:line="360" w:lineRule="auto"/>
        <w:jc w:val="right"/>
        <w:rPr>
          <w:rFonts w:ascii="Arial" w:hAnsi="Arial" w:cs="Arial"/>
          <w:sz w:val="24"/>
          <w:szCs w:val="24"/>
        </w:rPr>
      </w:pPr>
      <w:r>
        <w:rPr>
          <w:rFonts w:ascii="Arial" w:hAnsi="Arial" w:cs="Arial"/>
          <w:sz w:val="24"/>
          <w:szCs w:val="24"/>
        </w:rPr>
        <w:t>Oficio Nº 0491/13</w:t>
      </w:r>
    </w:p>
    <w:p w:rsidR="00BB6CE3" w:rsidRDefault="00BB6CE3" w:rsidP="0031608F">
      <w:pPr>
        <w:suppressAutoHyphens/>
        <w:spacing w:line="360" w:lineRule="auto"/>
        <w:ind w:firstLine="851"/>
        <w:jc w:val="both"/>
        <w:rPr>
          <w:rFonts w:ascii="Arial" w:hAnsi="Arial"/>
          <w:spacing w:val="-3"/>
          <w:sz w:val="24"/>
          <w:lang w:val="es-ES_tradnl"/>
        </w:rPr>
      </w:pPr>
    </w:p>
    <w:p w:rsidR="0031608F" w:rsidRDefault="0031608F" w:rsidP="0031608F">
      <w:pPr>
        <w:suppressAutoHyphens/>
        <w:spacing w:line="360" w:lineRule="auto"/>
        <w:ind w:firstLine="851"/>
        <w:jc w:val="both"/>
        <w:rPr>
          <w:rFonts w:ascii="Arial" w:hAnsi="Arial"/>
          <w:spacing w:val="-3"/>
          <w:sz w:val="24"/>
          <w:lang w:val="es-ES_tradnl"/>
        </w:rPr>
      </w:pPr>
      <w:r>
        <w:rPr>
          <w:rFonts w:ascii="Arial" w:hAnsi="Arial"/>
          <w:spacing w:val="-3"/>
          <w:sz w:val="24"/>
          <w:lang w:val="es-ES_tradnl"/>
        </w:rPr>
        <w:t xml:space="preserve">Transcribo la Resolución adoptada por este Tribunal en su acuerdo de  fecha 9 de enero de 2013:       </w:t>
      </w:r>
    </w:p>
    <w:p w:rsidR="00F75D2F" w:rsidRPr="00F75D2F" w:rsidRDefault="00F75D2F" w:rsidP="0031608F">
      <w:pPr>
        <w:suppressAutoHyphens/>
        <w:spacing w:line="360" w:lineRule="auto"/>
        <w:ind w:firstLine="851"/>
        <w:jc w:val="both"/>
        <w:rPr>
          <w:rFonts w:ascii="Arial" w:hAnsi="Arial" w:cs="Arial"/>
          <w:bCs/>
          <w:sz w:val="24"/>
          <w:szCs w:val="24"/>
          <w:lang w:val="es-MX"/>
        </w:rPr>
      </w:pPr>
      <w:r w:rsidRPr="00F75D2F">
        <w:rPr>
          <w:rFonts w:ascii="Arial" w:hAnsi="Arial" w:cs="Arial"/>
          <w:b/>
          <w:bCs/>
          <w:sz w:val="24"/>
          <w:szCs w:val="24"/>
        </w:rPr>
        <w:t>“VISTO:</w:t>
      </w:r>
      <w:r w:rsidRPr="00F75D2F">
        <w:rPr>
          <w:rFonts w:ascii="Arial" w:hAnsi="Arial" w:cs="Arial"/>
          <w:sz w:val="24"/>
          <w:szCs w:val="24"/>
        </w:rPr>
        <w:t xml:space="preserve"> las nuevas actuaciones remitidas por la Intendencia de Montevideo, </w:t>
      </w:r>
      <w:r w:rsidRPr="00F75D2F">
        <w:rPr>
          <w:rFonts w:ascii="Arial" w:hAnsi="Arial" w:cs="Arial"/>
          <w:sz w:val="24"/>
          <w:szCs w:val="24"/>
          <w:lang w:val="es-MX"/>
        </w:rPr>
        <w:t>relacionadas con la Licitación Pública N</w:t>
      </w:r>
      <w:r w:rsidRPr="00F75D2F">
        <w:rPr>
          <w:rFonts w:ascii="Arial" w:hAnsi="Arial" w:cs="Arial"/>
          <w:bCs/>
          <w:sz w:val="24"/>
          <w:szCs w:val="24"/>
          <w:lang w:val="es-MX"/>
        </w:rPr>
        <w:t>º 244450/1 para la limpieza integral del Teatro Solís;</w:t>
      </w:r>
    </w:p>
    <w:p w:rsidR="00F75D2F" w:rsidRPr="00F75D2F" w:rsidRDefault="00F75D2F" w:rsidP="00F75D2F">
      <w:pPr>
        <w:spacing w:line="360" w:lineRule="auto"/>
        <w:ind w:firstLine="851"/>
        <w:jc w:val="both"/>
        <w:rPr>
          <w:rFonts w:ascii="Arial" w:hAnsi="Arial" w:cs="Arial"/>
          <w:sz w:val="24"/>
          <w:szCs w:val="24"/>
          <w:lang w:val="es-MX"/>
        </w:rPr>
      </w:pPr>
      <w:r w:rsidRPr="00F75D2F">
        <w:rPr>
          <w:rFonts w:ascii="Arial" w:hAnsi="Arial" w:cs="Arial"/>
          <w:b/>
          <w:bCs/>
          <w:sz w:val="24"/>
          <w:szCs w:val="24"/>
        </w:rPr>
        <w:t>RESULTANDO:</w:t>
      </w:r>
      <w:r w:rsidRPr="00F75D2F">
        <w:rPr>
          <w:rFonts w:ascii="Arial" w:hAnsi="Arial" w:cs="Arial"/>
          <w:sz w:val="24"/>
          <w:szCs w:val="24"/>
        </w:rPr>
        <w:t xml:space="preserve"> </w:t>
      </w:r>
      <w:r w:rsidRPr="00F75D2F">
        <w:rPr>
          <w:rFonts w:ascii="Arial" w:hAnsi="Arial" w:cs="Arial"/>
          <w:b/>
          <w:sz w:val="24"/>
          <w:szCs w:val="24"/>
          <w:lang w:val="es-MX"/>
        </w:rPr>
        <w:t xml:space="preserve">1) </w:t>
      </w:r>
      <w:r w:rsidRPr="00F75D2F">
        <w:rPr>
          <w:rFonts w:ascii="Arial" w:hAnsi="Arial" w:cs="Arial"/>
          <w:bCs/>
          <w:sz w:val="24"/>
          <w:szCs w:val="24"/>
          <w:lang w:val="es-MX"/>
        </w:rPr>
        <w:t xml:space="preserve">que, por  Resolución N° 4515/11 de fecha 3 de noviembre de 2011, la Intendenta dispuso adjudicar a la firma </w:t>
      </w:r>
      <w:r w:rsidRPr="00F75D2F">
        <w:rPr>
          <w:rFonts w:ascii="Arial" w:hAnsi="Arial" w:cs="Arial"/>
          <w:sz w:val="24"/>
          <w:szCs w:val="24"/>
          <w:lang w:val="es-MX"/>
        </w:rPr>
        <w:t>Pulso S.R.L., por el plazo de un año y por un monto total de $ 6:424.577,76 (I.V.A. Incluido);</w:t>
      </w:r>
    </w:p>
    <w:p w:rsidR="00F75D2F" w:rsidRDefault="00F75D2F" w:rsidP="00F75D2F">
      <w:pPr>
        <w:spacing w:line="360" w:lineRule="auto"/>
        <w:jc w:val="both"/>
        <w:rPr>
          <w:rFonts w:ascii="Arial" w:hAnsi="Arial" w:cs="Arial"/>
          <w:bCs/>
          <w:sz w:val="24"/>
          <w:szCs w:val="24"/>
        </w:rPr>
      </w:pPr>
      <w:r>
        <w:rPr>
          <w:rFonts w:ascii="Arial" w:hAnsi="Arial" w:cs="Arial"/>
          <w:b/>
          <w:bCs/>
          <w:sz w:val="24"/>
          <w:szCs w:val="24"/>
          <w:lang w:val="es-MX"/>
        </w:rPr>
        <w:t xml:space="preserve">                                              </w:t>
      </w:r>
      <w:r w:rsidRPr="00F75D2F">
        <w:rPr>
          <w:rFonts w:ascii="Arial" w:hAnsi="Arial" w:cs="Arial"/>
          <w:b/>
          <w:bCs/>
          <w:sz w:val="24"/>
          <w:szCs w:val="24"/>
          <w:lang w:val="es-MX"/>
        </w:rPr>
        <w:t xml:space="preserve">2) </w:t>
      </w:r>
      <w:r w:rsidRPr="00F75D2F">
        <w:rPr>
          <w:rFonts w:ascii="Arial" w:hAnsi="Arial" w:cs="Arial"/>
          <w:bCs/>
          <w:sz w:val="24"/>
          <w:szCs w:val="24"/>
          <w:lang w:val="es-MX"/>
        </w:rPr>
        <w:t xml:space="preserve">que este </w:t>
      </w:r>
      <w:r w:rsidRPr="00F75D2F">
        <w:rPr>
          <w:rFonts w:ascii="Arial" w:hAnsi="Arial" w:cs="Arial"/>
          <w:bCs/>
          <w:sz w:val="24"/>
          <w:szCs w:val="24"/>
        </w:rPr>
        <w:t>Tribunal, en Sesión de fecha 3 de noviembre de 2011, acordó observar el gasto, en cuanto:</w:t>
      </w:r>
    </w:p>
    <w:p w:rsidR="00F75D2F" w:rsidRPr="00F75D2F" w:rsidRDefault="00F75D2F" w:rsidP="00F75D2F">
      <w:pPr>
        <w:spacing w:line="360" w:lineRule="auto"/>
        <w:ind w:left="567" w:hanging="567"/>
        <w:jc w:val="both"/>
        <w:rPr>
          <w:rFonts w:ascii="Arial" w:hAnsi="Arial" w:cs="Arial"/>
          <w:bCs/>
          <w:sz w:val="24"/>
          <w:szCs w:val="24"/>
        </w:rPr>
      </w:pPr>
      <w:r w:rsidRPr="00F75D2F">
        <w:rPr>
          <w:rFonts w:ascii="Arial" w:hAnsi="Arial" w:cs="Arial"/>
          <w:b/>
          <w:sz w:val="24"/>
          <w:szCs w:val="24"/>
        </w:rPr>
        <w:t>2.</w:t>
      </w:r>
      <w:r w:rsidRPr="00F75D2F">
        <w:rPr>
          <w:rFonts w:ascii="Arial" w:hAnsi="Arial" w:cs="Arial"/>
          <w:b/>
          <w:bCs/>
          <w:sz w:val="24"/>
          <w:szCs w:val="24"/>
          <w:lang w:val="es-MX"/>
        </w:rPr>
        <w:t>1)</w:t>
      </w:r>
      <w:r w:rsidRPr="00F75D2F">
        <w:rPr>
          <w:rFonts w:ascii="Arial" w:hAnsi="Arial" w:cs="Arial"/>
          <w:sz w:val="24"/>
          <w:szCs w:val="24"/>
          <w:lang w:val="es-MX"/>
        </w:rPr>
        <w:t xml:space="preserve">  la fórmula paramétrica incluida en la oferta del adjudicatario contraviene los Artículos 13 del Pliego Particular de Condiciones y 54 del TOCAF, al tomar como variables, hipótesis no contenidas en las bases que rigieron el Llamado; y</w:t>
      </w:r>
    </w:p>
    <w:p w:rsidR="00F75D2F" w:rsidRPr="00F75D2F" w:rsidRDefault="00F75D2F" w:rsidP="00F75D2F">
      <w:pPr>
        <w:spacing w:line="360" w:lineRule="auto"/>
        <w:ind w:left="567" w:hanging="567"/>
        <w:rPr>
          <w:rFonts w:ascii="Arial" w:hAnsi="Arial" w:cs="Arial"/>
          <w:bCs/>
          <w:sz w:val="24"/>
          <w:szCs w:val="24"/>
          <w:lang w:val="es-MX"/>
        </w:rPr>
      </w:pPr>
      <w:r w:rsidRPr="00F75D2F">
        <w:rPr>
          <w:rFonts w:ascii="Arial" w:hAnsi="Arial" w:cs="Arial"/>
          <w:b/>
          <w:bCs/>
          <w:sz w:val="24"/>
          <w:szCs w:val="24"/>
          <w:lang w:val="es-MX"/>
        </w:rPr>
        <w:lastRenderedPageBreak/>
        <w:t>2.2)</w:t>
      </w:r>
      <w:r w:rsidRPr="00F75D2F">
        <w:rPr>
          <w:rFonts w:ascii="Arial" w:hAnsi="Arial" w:cs="Arial"/>
          <w:sz w:val="24"/>
          <w:szCs w:val="24"/>
          <w:lang w:val="es-MX"/>
        </w:rPr>
        <w:t xml:space="preserve">  no se dio cumplimiento a lo dispuesto por el Artículo 15 del TOCAF.              El mismo fue reiterado con fecha 5 de diciembre de 2011;</w:t>
      </w:r>
    </w:p>
    <w:p w:rsidR="00F75D2F" w:rsidRDefault="00F75D2F" w:rsidP="00F75D2F">
      <w:pPr>
        <w:spacing w:line="360" w:lineRule="auto"/>
        <w:jc w:val="both"/>
        <w:rPr>
          <w:rFonts w:ascii="Arial" w:hAnsi="Arial" w:cs="Arial"/>
          <w:bCs/>
          <w:sz w:val="24"/>
          <w:szCs w:val="24"/>
          <w:lang w:val="es-MX"/>
        </w:rPr>
      </w:pPr>
      <w:r>
        <w:rPr>
          <w:rFonts w:ascii="Arial" w:hAnsi="Arial" w:cs="Arial"/>
          <w:b/>
          <w:sz w:val="24"/>
          <w:szCs w:val="24"/>
          <w:lang w:val="es-MX"/>
        </w:rPr>
        <w:t xml:space="preserve">                                         </w:t>
      </w:r>
      <w:r w:rsidRPr="00F75D2F">
        <w:rPr>
          <w:rFonts w:ascii="Arial" w:hAnsi="Arial" w:cs="Arial"/>
          <w:b/>
          <w:sz w:val="24"/>
          <w:szCs w:val="24"/>
          <w:lang w:val="es-MX"/>
        </w:rPr>
        <w:t xml:space="preserve">3) </w:t>
      </w:r>
      <w:r w:rsidRPr="00F75D2F">
        <w:rPr>
          <w:rFonts w:ascii="Arial" w:hAnsi="Arial" w:cs="Arial"/>
          <w:bCs/>
          <w:sz w:val="24"/>
          <w:szCs w:val="24"/>
          <w:lang w:val="es-MX"/>
        </w:rPr>
        <w:t xml:space="preserve">que, </w:t>
      </w:r>
      <w:r w:rsidRPr="00F75D2F">
        <w:rPr>
          <w:rFonts w:ascii="Arial" w:hAnsi="Arial" w:cs="Arial"/>
          <w:sz w:val="24"/>
          <w:szCs w:val="24"/>
          <w:lang w:val="es-MX"/>
        </w:rPr>
        <w:t>mediante Resolución Nº 5607/11 de fecha 5 de diciembre de 2011, el Intendente dispuso reiterar el gasto, expresando que: la firma manifiesta que se ajusta a las condiciones previstas por la Administración, por lo que se considera que es un error evidente, constituyendo un apartamiento no trascendente perfectamente subsanable;</w:t>
      </w:r>
    </w:p>
    <w:p w:rsidR="00F75D2F" w:rsidRPr="00F75D2F" w:rsidRDefault="00F75D2F" w:rsidP="00F75D2F">
      <w:pPr>
        <w:spacing w:line="360" w:lineRule="auto"/>
        <w:ind w:firstLine="851"/>
        <w:jc w:val="both"/>
        <w:rPr>
          <w:rFonts w:ascii="Arial" w:hAnsi="Arial" w:cs="Arial"/>
          <w:bCs/>
          <w:sz w:val="24"/>
          <w:szCs w:val="24"/>
          <w:lang w:val="es-MX"/>
        </w:rPr>
      </w:pPr>
      <w:r w:rsidRPr="00F75D2F">
        <w:rPr>
          <w:rFonts w:ascii="Arial" w:hAnsi="Arial" w:cs="Arial"/>
          <w:b/>
          <w:bCs/>
          <w:sz w:val="24"/>
          <w:szCs w:val="24"/>
          <w:lang w:val="es-ES_tradnl"/>
        </w:rPr>
        <w:t xml:space="preserve">CONSIDERANDO: </w:t>
      </w:r>
      <w:r w:rsidRPr="00F75D2F">
        <w:rPr>
          <w:rFonts w:ascii="Arial" w:hAnsi="Arial" w:cs="Arial"/>
          <w:sz w:val="24"/>
          <w:szCs w:val="24"/>
          <w:lang w:val="es-ES_tradnl"/>
        </w:rPr>
        <w:t>que, sin perjuicio del argumento esgrimido, en el cual se reconoce el incumplimiento, se mantiene incambiada la posición de este Tribunal respecto de los hechos con relevancia jurídica que motivaron la observación oportunamente formulada;</w:t>
      </w:r>
    </w:p>
    <w:p w:rsidR="00F75D2F" w:rsidRPr="00F75D2F" w:rsidRDefault="00F75D2F" w:rsidP="00F75D2F">
      <w:pPr>
        <w:spacing w:line="360" w:lineRule="auto"/>
        <w:ind w:firstLine="851"/>
        <w:jc w:val="both"/>
        <w:rPr>
          <w:rFonts w:ascii="Arial" w:hAnsi="Arial" w:cs="Arial"/>
          <w:sz w:val="24"/>
          <w:szCs w:val="24"/>
          <w:lang w:val="es-ES_tradnl"/>
        </w:rPr>
      </w:pPr>
      <w:r w:rsidRPr="00F75D2F">
        <w:rPr>
          <w:rFonts w:ascii="Arial" w:hAnsi="Arial" w:cs="Arial"/>
          <w:b/>
          <w:bCs/>
          <w:sz w:val="24"/>
          <w:szCs w:val="24"/>
          <w:lang w:val="es-ES_tradnl"/>
        </w:rPr>
        <w:t>ATENTO:</w:t>
      </w:r>
      <w:r w:rsidRPr="00F75D2F">
        <w:rPr>
          <w:rFonts w:ascii="Arial" w:hAnsi="Arial" w:cs="Arial"/>
          <w:sz w:val="24"/>
          <w:szCs w:val="24"/>
          <w:lang w:val="es-ES_tradnl"/>
        </w:rPr>
        <w:t xml:space="preserve"> a lo expuesto y a lo dispuesto por el Artículo 211 Literal B) de la Constitución de la República;</w:t>
      </w:r>
    </w:p>
    <w:p w:rsidR="00F75D2F" w:rsidRPr="00F75D2F" w:rsidRDefault="00F75D2F" w:rsidP="00F75D2F">
      <w:pPr>
        <w:spacing w:line="360" w:lineRule="auto"/>
        <w:jc w:val="center"/>
        <w:rPr>
          <w:rFonts w:ascii="Arial" w:hAnsi="Arial" w:cs="Arial"/>
          <w:b/>
          <w:sz w:val="24"/>
          <w:szCs w:val="24"/>
          <w:lang w:val="es-MX"/>
        </w:rPr>
      </w:pPr>
      <w:r w:rsidRPr="00F75D2F">
        <w:rPr>
          <w:rFonts w:ascii="Arial" w:hAnsi="Arial" w:cs="Arial"/>
          <w:b/>
          <w:sz w:val="24"/>
          <w:szCs w:val="24"/>
          <w:lang w:val="es-MX"/>
        </w:rPr>
        <w:t>EL TRIBUNAL ACUERDA</w:t>
      </w:r>
    </w:p>
    <w:p w:rsidR="00F75D2F" w:rsidRPr="00F75D2F" w:rsidRDefault="00F75D2F" w:rsidP="00BB6CE3">
      <w:pPr>
        <w:pStyle w:val="Prrafodelista"/>
        <w:numPr>
          <w:ilvl w:val="0"/>
          <w:numId w:val="1"/>
        </w:numPr>
        <w:tabs>
          <w:tab w:val="clear" w:pos="720"/>
          <w:tab w:val="num" w:pos="284"/>
        </w:tabs>
        <w:spacing w:after="0" w:line="360" w:lineRule="auto"/>
        <w:ind w:hanging="720"/>
        <w:rPr>
          <w:rFonts w:ascii="Arial" w:hAnsi="Arial" w:cs="Arial"/>
          <w:sz w:val="24"/>
          <w:szCs w:val="24"/>
          <w:lang w:val="es-ES_tradnl"/>
        </w:rPr>
      </w:pPr>
      <w:r w:rsidRPr="00F75D2F">
        <w:rPr>
          <w:rFonts w:ascii="Arial" w:hAnsi="Arial" w:cs="Arial"/>
          <w:sz w:val="24"/>
          <w:szCs w:val="24"/>
          <w:lang w:val="es-ES_tradnl"/>
        </w:rPr>
        <w:t>Mantener la observación formulada con fecha 3 de noviembre de 2011;</w:t>
      </w:r>
    </w:p>
    <w:p w:rsidR="00F75D2F" w:rsidRPr="00F75D2F" w:rsidRDefault="00F75D2F" w:rsidP="00BB6CE3">
      <w:pPr>
        <w:numPr>
          <w:ilvl w:val="0"/>
          <w:numId w:val="1"/>
        </w:numPr>
        <w:tabs>
          <w:tab w:val="clear" w:pos="720"/>
          <w:tab w:val="num" w:pos="142"/>
          <w:tab w:val="num" w:pos="284"/>
        </w:tabs>
        <w:spacing w:after="0" w:line="360" w:lineRule="auto"/>
        <w:ind w:left="284" w:hanging="284"/>
        <w:rPr>
          <w:rFonts w:ascii="Arial" w:hAnsi="Arial" w:cs="Arial"/>
          <w:sz w:val="24"/>
          <w:szCs w:val="24"/>
          <w:lang w:val="es-MX"/>
        </w:rPr>
      </w:pPr>
      <w:r w:rsidRPr="00F75D2F">
        <w:rPr>
          <w:rFonts w:ascii="Arial" w:hAnsi="Arial" w:cs="Arial"/>
          <w:sz w:val="24"/>
          <w:szCs w:val="24"/>
          <w:lang w:val="es-ES_tradnl"/>
        </w:rPr>
        <w:t>Dar cuenta a la Junta Departamental de Montevideo; y</w:t>
      </w:r>
    </w:p>
    <w:p w:rsidR="00F75D2F" w:rsidRPr="00F75D2F" w:rsidRDefault="00F75D2F" w:rsidP="00BB6CE3">
      <w:pPr>
        <w:numPr>
          <w:ilvl w:val="0"/>
          <w:numId w:val="1"/>
        </w:numPr>
        <w:tabs>
          <w:tab w:val="clear" w:pos="720"/>
          <w:tab w:val="num" w:pos="142"/>
          <w:tab w:val="num" w:pos="284"/>
        </w:tabs>
        <w:spacing w:after="0" w:line="360" w:lineRule="auto"/>
        <w:ind w:left="284" w:hanging="284"/>
        <w:rPr>
          <w:rFonts w:ascii="Arial" w:hAnsi="Arial" w:cs="Arial"/>
          <w:sz w:val="24"/>
          <w:szCs w:val="24"/>
          <w:lang w:val="es-MX"/>
        </w:rPr>
      </w:pPr>
      <w:r w:rsidRPr="00F75D2F">
        <w:rPr>
          <w:rFonts w:ascii="Arial" w:hAnsi="Arial" w:cs="Arial"/>
          <w:sz w:val="24"/>
          <w:szCs w:val="24"/>
          <w:lang w:val="es-ES_tradnl"/>
        </w:rPr>
        <w:t>Comunicar  a la Administración actuante”;</w:t>
      </w:r>
    </w:p>
    <w:p w:rsidR="00F75D2F" w:rsidRPr="0031608F" w:rsidRDefault="0031608F" w:rsidP="0031608F">
      <w:pPr>
        <w:tabs>
          <w:tab w:val="num" w:pos="142"/>
        </w:tabs>
        <w:ind w:left="284" w:hanging="284"/>
        <w:jc w:val="right"/>
        <w:rPr>
          <w:rFonts w:ascii="Arial" w:hAnsi="Arial" w:cs="Arial"/>
          <w:bCs/>
          <w:sz w:val="24"/>
          <w:szCs w:val="24"/>
          <w:lang w:val="es-MX"/>
        </w:rPr>
      </w:pPr>
      <w:bookmarkStart w:id="0" w:name="_GoBack"/>
      <w:bookmarkEnd w:id="0"/>
      <w:r w:rsidRPr="0031608F">
        <w:rPr>
          <w:rFonts w:ascii="Arial" w:hAnsi="Arial" w:cs="Arial"/>
          <w:bCs/>
          <w:sz w:val="24"/>
          <w:szCs w:val="24"/>
          <w:lang w:val="es-MX"/>
        </w:rPr>
        <w:t>Saludo a usted atentamente.</w:t>
      </w:r>
    </w:p>
    <w:p w:rsidR="00F75D2F" w:rsidRPr="00F75D2F" w:rsidRDefault="00F75D2F" w:rsidP="00F75D2F">
      <w:pPr>
        <w:jc w:val="center"/>
        <w:rPr>
          <w:rFonts w:ascii="Arial" w:hAnsi="Arial" w:cs="Arial"/>
          <w:bCs/>
          <w:sz w:val="24"/>
          <w:szCs w:val="24"/>
          <w:lang w:val="es-MX"/>
        </w:rPr>
      </w:pPr>
    </w:p>
    <w:p w:rsidR="00F75D2F" w:rsidRPr="00F75D2F" w:rsidRDefault="00F75D2F" w:rsidP="00F75D2F">
      <w:pPr>
        <w:rPr>
          <w:rFonts w:ascii="Arial" w:hAnsi="Arial" w:cs="Arial"/>
          <w:bCs/>
          <w:sz w:val="24"/>
          <w:szCs w:val="24"/>
          <w:lang w:val="es-MX"/>
        </w:rPr>
      </w:pPr>
      <w:proofErr w:type="spellStart"/>
      <w:proofErr w:type="gramStart"/>
      <w:r w:rsidRPr="00F75D2F">
        <w:rPr>
          <w:rFonts w:ascii="Arial" w:hAnsi="Arial" w:cs="Arial"/>
          <w:bCs/>
          <w:sz w:val="24"/>
          <w:szCs w:val="24"/>
          <w:lang w:val="es-MX"/>
        </w:rPr>
        <w:t>mb</w:t>
      </w:r>
      <w:proofErr w:type="spellEnd"/>
      <w:proofErr w:type="gramEnd"/>
    </w:p>
    <w:p w:rsidR="00811312" w:rsidRDefault="00811312"/>
    <w:sectPr w:rsidR="00811312" w:rsidSect="00BB6CE3">
      <w:pgSz w:w="11906" w:h="16838" w:code="9"/>
      <w:pgMar w:top="3289" w:right="1701" w:bottom="1701"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2D31"/>
    <w:multiLevelType w:val="hybridMultilevel"/>
    <w:tmpl w:val="13F613A6"/>
    <w:lvl w:ilvl="0" w:tplc="2C1C7206">
      <w:start w:val="1"/>
      <w:numFmt w:val="decimal"/>
      <w:lvlText w:val="%1)"/>
      <w:lvlJc w:val="left"/>
      <w:pPr>
        <w:tabs>
          <w:tab w:val="num" w:pos="720"/>
        </w:tabs>
        <w:ind w:left="720" w:hanging="360"/>
      </w:pPr>
      <w:rPr>
        <w:rFonts w:ascii="Arial" w:eastAsiaTheme="minorHAnsi" w:hAnsi="Arial" w:cs="Arial"/>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2F"/>
    <w:rsid w:val="0031608F"/>
    <w:rsid w:val="00811312"/>
    <w:rsid w:val="00BB6CE3"/>
    <w:rsid w:val="00F75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5D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5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E466A4-D909-4FCC-BDF4-2E11B577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Brienza</dc:creator>
  <cp:keywords/>
  <dc:description/>
  <cp:lastModifiedBy>Cecilia Casagrande</cp:lastModifiedBy>
  <cp:revision>3</cp:revision>
  <cp:lastPrinted>2013-01-18T14:00:00Z</cp:lastPrinted>
  <dcterms:created xsi:type="dcterms:W3CDTF">2013-01-17T11:27:00Z</dcterms:created>
  <dcterms:modified xsi:type="dcterms:W3CDTF">2013-01-18T14:02:00Z</dcterms:modified>
</cp:coreProperties>
</file>